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796"/>
      </w:tblGrid>
      <w:tr w:rsidR="004D7605" w14:paraId="194E5C2D" w14:textId="77777777" w:rsidTr="000635C6">
        <w:tc>
          <w:tcPr>
            <w:tcW w:w="9072" w:type="dxa"/>
            <w:gridSpan w:val="2"/>
          </w:tcPr>
          <w:p w14:paraId="194E5C2C" w14:textId="243EA465" w:rsidR="004D7605" w:rsidRPr="004F6D18" w:rsidRDefault="004D7605" w:rsidP="000635C6">
            <w:pPr>
              <w:spacing w:before="120" w:after="120"/>
              <w:jc w:val="right"/>
              <w:rPr>
                <w:rFonts w:ascii="Arial" w:hAnsi="Arial" w:cs="Arial"/>
              </w:rPr>
            </w:pPr>
            <w:r>
              <w:rPr>
                <w:rFonts w:ascii="Arial" w:hAnsi="Arial" w:cs="Arial"/>
              </w:rPr>
              <w:t xml:space="preserve">Załącznik nr </w:t>
            </w:r>
            <w:r w:rsidR="00420D19">
              <w:rPr>
                <w:rFonts w:ascii="Arial" w:hAnsi="Arial" w:cs="Arial"/>
              </w:rPr>
              <w:t>1</w:t>
            </w:r>
          </w:p>
        </w:tc>
      </w:tr>
      <w:tr w:rsidR="004D7605" w14:paraId="194E5C2F" w14:textId="77777777" w:rsidTr="000635C6">
        <w:trPr>
          <w:trHeight w:val="637"/>
        </w:trPr>
        <w:tc>
          <w:tcPr>
            <w:tcW w:w="9072" w:type="dxa"/>
            <w:gridSpan w:val="2"/>
            <w:vAlign w:val="center"/>
          </w:tcPr>
          <w:p w14:paraId="194E5C2E" w14:textId="77777777" w:rsidR="004D7605" w:rsidRPr="00695A76" w:rsidRDefault="004D7605" w:rsidP="000635C6">
            <w:pPr>
              <w:spacing w:before="240" w:after="240"/>
              <w:jc w:val="center"/>
              <w:rPr>
                <w:rFonts w:ascii="Arial" w:hAnsi="Arial" w:cs="Arial"/>
                <w:b/>
              </w:rPr>
            </w:pPr>
            <w:r>
              <w:rPr>
                <w:rFonts w:ascii="Arial" w:hAnsi="Arial" w:cs="Arial"/>
                <w:b/>
              </w:rPr>
              <w:t>Opis Przedmiotu Zamówienia</w:t>
            </w:r>
          </w:p>
        </w:tc>
      </w:tr>
      <w:tr w:rsidR="004D7605" w14:paraId="194E5C32" w14:textId="77777777" w:rsidTr="000635C6">
        <w:trPr>
          <w:trHeight w:val="945"/>
        </w:trPr>
        <w:tc>
          <w:tcPr>
            <w:tcW w:w="1276" w:type="dxa"/>
          </w:tcPr>
          <w:p w14:paraId="194E5C30" w14:textId="77777777" w:rsidR="004D7605" w:rsidRPr="004F6D18" w:rsidRDefault="004D7605" w:rsidP="000635C6">
            <w:pPr>
              <w:spacing w:before="120" w:line="276" w:lineRule="auto"/>
              <w:rPr>
                <w:rFonts w:ascii="Arial" w:hAnsi="Arial" w:cs="Arial"/>
              </w:rPr>
            </w:pPr>
            <w:r>
              <w:rPr>
                <w:rFonts w:ascii="Arial" w:hAnsi="Arial" w:cs="Arial"/>
              </w:rPr>
              <w:t>Dotyczy:</w:t>
            </w:r>
          </w:p>
        </w:tc>
        <w:tc>
          <w:tcPr>
            <w:tcW w:w="7796" w:type="dxa"/>
          </w:tcPr>
          <w:p w14:paraId="194E5C31" w14:textId="77777777" w:rsidR="004D7605" w:rsidRPr="004F6D18" w:rsidRDefault="004D7605" w:rsidP="000635C6">
            <w:pPr>
              <w:spacing w:before="120" w:line="276" w:lineRule="auto"/>
              <w:jc w:val="both"/>
              <w:rPr>
                <w:rFonts w:ascii="Arial" w:hAnsi="Arial" w:cs="Arial"/>
              </w:rPr>
            </w:pPr>
            <w:r w:rsidRPr="00103F82">
              <w:rPr>
                <w:rFonts w:ascii="Arial" w:hAnsi="Arial" w:cs="Arial"/>
              </w:rPr>
              <w:t>Przeglądy oraz naprawy awaryjne Urządzeń Transportu Bliskiego w TAURON Wytwarzanie S.A. – Oddział Elektrownia Stalowa Wola</w:t>
            </w:r>
          </w:p>
        </w:tc>
      </w:tr>
    </w:tbl>
    <w:p w14:paraId="194E5C33" w14:textId="77777777" w:rsidR="004D7605" w:rsidRPr="003F6DD1" w:rsidRDefault="004D7605" w:rsidP="004D7605">
      <w:pPr>
        <w:pStyle w:val="Akapitzlist"/>
        <w:numPr>
          <w:ilvl w:val="0"/>
          <w:numId w:val="1"/>
        </w:numPr>
        <w:spacing w:before="120" w:after="120" w:line="276" w:lineRule="auto"/>
        <w:ind w:left="426" w:hanging="357"/>
        <w:contextualSpacing w:val="0"/>
        <w:jc w:val="both"/>
        <w:rPr>
          <w:rFonts w:ascii="Arial" w:eastAsia="Calibri" w:hAnsi="Arial" w:cs="Arial"/>
          <w:sz w:val="20"/>
          <w:szCs w:val="20"/>
        </w:rPr>
      </w:pPr>
      <w:r w:rsidRPr="003F6DD1">
        <w:rPr>
          <w:rFonts w:ascii="Arial" w:eastAsia="Calibri" w:hAnsi="Arial" w:cs="Arial"/>
          <w:sz w:val="20"/>
          <w:szCs w:val="20"/>
        </w:rPr>
        <w:t xml:space="preserve">Opis urządzenia: </w:t>
      </w:r>
    </w:p>
    <w:tbl>
      <w:tblPr>
        <w:tblStyle w:val="Tabela-Siatka"/>
        <w:tblW w:w="0" w:type="dxa"/>
        <w:tblInd w:w="426" w:type="dxa"/>
        <w:tblLook w:val="04A0" w:firstRow="1" w:lastRow="0" w:firstColumn="1" w:lastColumn="0" w:noHBand="0" w:noVBand="1"/>
      </w:tblPr>
      <w:tblGrid>
        <w:gridCol w:w="562"/>
        <w:gridCol w:w="1559"/>
        <w:gridCol w:w="2001"/>
        <w:gridCol w:w="1826"/>
        <w:gridCol w:w="994"/>
        <w:gridCol w:w="1467"/>
      </w:tblGrid>
      <w:tr w:rsidR="004D7605" w14:paraId="194E5C3A" w14:textId="77777777" w:rsidTr="000635C6">
        <w:tc>
          <w:tcPr>
            <w:tcW w:w="562" w:type="dxa"/>
            <w:shd w:val="clear" w:color="auto" w:fill="BFBFBF" w:themeFill="background1" w:themeFillShade="BF"/>
            <w:vAlign w:val="center"/>
          </w:tcPr>
          <w:p w14:paraId="194E5C34" w14:textId="77777777" w:rsidR="004D7605" w:rsidRPr="003F6DD1" w:rsidRDefault="004D7605" w:rsidP="000635C6">
            <w:pPr>
              <w:pStyle w:val="Akapitzlist"/>
              <w:spacing w:before="120" w:after="120" w:line="276" w:lineRule="auto"/>
              <w:ind w:left="0"/>
              <w:contextualSpacing w:val="0"/>
              <w:jc w:val="center"/>
              <w:rPr>
                <w:rFonts w:ascii="Arial" w:eastAsia="Calibri" w:hAnsi="Arial" w:cs="Arial"/>
                <w:b/>
                <w:sz w:val="20"/>
                <w:szCs w:val="20"/>
              </w:rPr>
            </w:pPr>
            <w:r w:rsidRPr="003F6DD1">
              <w:rPr>
                <w:rFonts w:ascii="Arial" w:eastAsia="Calibri" w:hAnsi="Arial" w:cs="Arial"/>
                <w:b/>
                <w:sz w:val="20"/>
                <w:szCs w:val="20"/>
              </w:rPr>
              <w:t>Lp.</w:t>
            </w:r>
          </w:p>
        </w:tc>
        <w:tc>
          <w:tcPr>
            <w:tcW w:w="1559" w:type="dxa"/>
            <w:shd w:val="clear" w:color="auto" w:fill="BFBFBF" w:themeFill="background1" w:themeFillShade="BF"/>
            <w:vAlign w:val="center"/>
          </w:tcPr>
          <w:p w14:paraId="194E5C35" w14:textId="77777777" w:rsidR="004D7605" w:rsidRPr="003F6DD1" w:rsidRDefault="004D7605" w:rsidP="000635C6">
            <w:pPr>
              <w:pStyle w:val="Akapitzlist"/>
              <w:spacing w:before="120" w:after="120" w:line="276" w:lineRule="auto"/>
              <w:ind w:left="0"/>
              <w:contextualSpacing w:val="0"/>
              <w:jc w:val="center"/>
              <w:rPr>
                <w:rFonts w:ascii="Arial" w:eastAsia="Calibri" w:hAnsi="Arial" w:cs="Arial"/>
                <w:b/>
                <w:sz w:val="20"/>
                <w:szCs w:val="20"/>
              </w:rPr>
            </w:pPr>
            <w:r w:rsidRPr="003F6DD1">
              <w:rPr>
                <w:rFonts w:ascii="Arial" w:eastAsia="Calibri" w:hAnsi="Arial" w:cs="Arial"/>
                <w:b/>
                <w:sz w:val="20"/>
                <w:szCs w:val="20"/>
              </w:rPr>
              <w:t>Rodzaj</w:t>
            </w:r>
          </w:p>
        </w:tc>
        <w:tc>
          <w:tcPr>
            <w:tcW w:w="2001" w:type="dxa"/>
            <w:shd w:val="clear" w:color="auto" w:fill="BFBFBF" w:themeFill="background1" w:themeFillShade="BF"/>
            <w:vAlign w:val="center"/>
          </w:tcPr>
          <w:p w14:paraId="194E5C36" w14:textId="77777777" w:rsidR="004D7605" w:rsidRPr="003F6DD1" w:rsidRDefault="004D7605" w:rsidP="000635C6">
            <w:pPr>
              <w:pStyle w:val="Akapitzlist"/>
              <w:spacing w:before="120" w:after="120" w:line="276" w:lineRule="auto"/>
              <w:ind w:left="0"/>
              <w:contextualSpacing w:val="0"/>
              <w:jc w:val="center"/>
              <w:rPr>
                <w:rFonts w:ascii="Arial" w:eastAsia="Calibri" w:hAnsi="Arial" w:cs="Arial"/>
                <w:b/>
                <w:sz w:val="20"/>
                <w:szCs w:val="20"/>
              </w:rPr>
            </w:pPr>
            <w:r w:rsidRPr="003F6DD1">
              <w:rPr>
                <w:rFonts w:ascii="Arial" w:eastAsia="Calibri" w:hAnsi="Arial" w:cs="Arial"/>
                <w:b/>
                <w:sz w:val="20"/>
                <w:szCs w:val="20"/>
              </w:rPr>
              <w:t>Miejsce zainst.</w:t>
            </w:r>
          </w:p>
        </w:tc>
        <w:tc>
          <w:tcPr>
            <w:tcW w:w="1826" w:type="dxa"/>
            <w:shd w:val="clear" w:color="auto" w:fill="BFBFBF" w:themeFill="background1" w:themeFillShade="BF"/>
            <w:vAlign w:val="center"/>
          </w:tcPr>
          <w:p w14:paraId="194E5C37" w14:textId="77777777" w:rsidR="004D7605" w:rsidRPr="003F6DD1" w:rsidRDefault="004D7605" w:rsidP="000635C6">
            <w:pPr>
              <w:pStyle w:val="Akapitzlist"/>
              <w:spacing w:before="120" w:after="120" w:line="276" w:lineRule="auto"/>
              <w:ind w:left="0"/>
              <w:contextualSpacing w:val="0"/>
              <w:jc w:val="center"/>
              <w:rPr>
                <w:rFonts w:ascii="Arial" w:eastAsia="Calibri" w:hAnsi="Arial" w:cs="Arial"/>
                <w:b/>
                <w:sz w:val="20"/>
                <w:szCs w:val="20"/>
              </w:rPr>
            </w:pPr>
            <w:r w:rsidRPr="003F6DD1">
              <w:rPr>
                <w:rFonts w:ascii="Arial" w:eastAsia="Calibri" w:hAnsi="Arial" w:cs="Arial"/>
                <w:b/>
                <w:sz w:val="20"/>
                <w:szCs w:val="20"/>
              </w:rPr>
              <w:t>Producent</w:t>
            </w:r>
          </w:p>
        </w:tc>
        <w:tc>
          <w:tcPr>
            <w:tcW w:w="994" w:type="dxa"/>
            <w:shd w:val="clear" w:color="auto" w:fill="BFBFBF" w:themeFill="background1" w:themeFillShade="BF"/>
            <w:vAlign w:val="center"/>
          </w:tcPr>
          <w:p w14:paraId="194E5C38" w14:textId="77777777" w:rsidR="004D7605" w:rsidRPr="003F6DD1" w:rsidRDefault="004D7605" w:rsidP="000635C6">
            <w:pPr>
              <w:pStyle w:val="Akapitzlist"/>
              <w:spacing w:before="120" w:after="120" w:line="276" w:lineRule="auto"/>
              <w:ind w:left="0"/>
              <w:contextualSpacing w:val="0"/>
              <w:jc w:val="center"/>
              <w:rPr>
                <w:rFonts w:ascii="Arial" w:eastAsia="Calibri" w:hAnsi="Arial" w:cs="Arial"/>
                <w:b/>
                <w:sz w:val="20"/>
                <w:szCs w:val="20"/>
              </w:rPr>
            </w:pPr>
            <w:r w:rsidRPr="003F6DD1">
              <w:rPr>
                <w:rFonts w:ascii="Arial" w:eastAsia="Calibri" w:hAnsi="Arial" w:cs="Arial"/>
                <w:b/>
                <w:sz w:val="20"/>
                <w:szCs w:val="20"/>
              </w:rPr>
              <w:t>Udźwig [t]</w:t>
            </w:r>
          </w:p>
        </w:tc>
        <w:tc>
          <w:tcPr>
            <w:tcW w:w="1467" w:type="dxa"/>
            <w:shd w:val="clear" w:color="auto" w:fill="BFBFBF" w:themeFill="background1" w:themeFillShade="BF"/>
            <w:vAlign w:val="center"/>
          </w:tcPr>
          <w:p w14:paraId="194E5C39" w14:textId="77777777" w:rsidR="004D7605" w:rsidRPr="003F6DD1" w:rsidRDefault="004D7605" w:rsidP="000635C6">
            <w:pPr>
              <w:pStyle w:val="Akapitzlist"/>
              <w:spacing w:before="120" w:after="120" w:line="276" w:lineRule="auto"/>
              <w:ind w:left="0"/>
              <w:contextualSpacing w:val="0"/>
              <w:jc w:val="center"/>
              <w:rPr>
                <w:rFonts w:ascii="Arial" w:eastAsia="Calibri" w:hAnsi="Arial" w:cs="Arial"/>
                <w:b/>
                <w:sz w:val="20"/>
                <w:szCs w:val="20"/>
              </w:rPr>
            </w:pPr>
            <w:r w:rsidRPr="003F6DD1">
              <w:rPr>
                <w:rFonts w:ascii="Arial" w:eastAsia="Calibri" w:hAnsi="Arial" w:cs="Arial"/>
                <w:b/>
                <w:sz w:val="20"/>
                <w:szCs w:val="20"/>
              </w:rPr>
              <w:t>Nr UDT</w:t>
            </w:r>
          </w:p>
        </w:tc>
      </w:tr>
      <w:tr w:rsidR="004D7605" w14:paraId="194E5C42" w14:textId="77777777" w:rsidTr="000635C6">
        <w:trPr>
          <w:trHeight w:val="850"/>
        </w:trPr>
        <w:tc>
          <w:tcPr>
            <w:tcW w:w="562" w:type="dxa"/>
            <w:vAlign w:val="center"/>
          </w:tcPr>
          <w:p w14:paraId="194E5C3B"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1.</w:t>
            </w:r>
          </w:p>
        </w:tc>
        <w:tc>
          <w:tcPr>
            <w:tcW w:w="1559" w:type="dxa"/>
            <w:vAlign w:val="center"/>
          </w:tcPr>
          <w:p w14:paraId="194E5C3C"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 xml:space="preserve">Dźwig </w:t>
            </w:r>
          </w:p>
          <w:p w14:paraId="194E5C3D"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towar-osob</w:t>
            </w:r>
          </w:p>
        </w:tc>
        <w:tc>
          <w:tcPr>
            <w:tcW w:w="2001" w:type="dxa"/>
            <w:vAlign w:val="center"/>
          </w:tcPr>
          <w:p w14:paraId="194E5C3E"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El II - Winda K11</w:t>
            </w:r>
          </w:p>
        </w:tc>
        <w:tc>
          <w:tcPr>
            <w:tcW w:w="1826" w:type="dxa"/>
            <w:vAlign w:val="center"/>
          </w:tcPr>
          <w:p w14:paraId="194E5C3F"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 xml:space="preserve">Producent: </w:t>
            </w:r>
            <w:r w:rsidRPr="003F6DD1">
              <w:rPr>
                <w:rFonts w:ascii="Arial" w:hAnsi="Arial" w:cs="Arial"/>
                <w:sz w:val="20"/>
                <w:szCs w:val="20"/>
              </w:rPr>
              <w:t>ZUD - Warszawa</w:t>
            </w:r>
          </w:p>
        </w:tc>
        <w:tc>
          <w:tcPr>
            <w:tcW w:w="994" w:type="dxa"/>
            <w:vAlign w:val="center"/>
          </w:tcPr>
          <w:p w14:paraId="194E5C40"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1</w:t>
            </w:r>
          </w:p>
        </w:tc>
        <w:tc>
          <w:tcPr>
            <w:tcW w:w="1467" w:type="dxa"/>
            <w:vAlign w:val="center"/>
          </w:tcPr>
          <w:p w14:paraId="194E5C41"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3122001267</w:t>
            </w:r>
          </w:p>
        </w:tc>
      </w:tr>
      <w:tr w:rsidR="004D7605" w14:paraId="194E5C4A" w14:textId="77777777" w:rsidTr="000635C6">
        <w:trPr>
          <w:trHeight w:val="850"/>
        </w:trPr>
        <w:tc>
          <w:tcPr>
            <w:tcW w:w="562" w:type="dxa"/>
            <w:vAlign w:val="center"/>
          </w:tcPr>
          <w:p w14:paraId="194E5C43"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2.</w:t>
            </w:r>
          </w:p>
        </w:tc>
        <w:tc>
          <w:tcPr>
            <w:tcW w:w="1559" w:type="dxa"/>
            <w:vAlign w:val="center"/>
          </w:tcPr>
          <w:p w14:paraId="194E5C44"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 xml:space="preserve">Dźwig </w:t>
            </w:r>
          </w:p>
          <w:p w14:paraId="194E5C45"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towar-osob</w:t>
            </w:r>
          </w:p>
        </w:tc>
        <w:tc>
          <w:tcPr>
            <w:tcW w:w="2001" w:type="dxa"/>
            <w:vAlign w:val="center"/>
          </w:tcPr>
          <w:p w14:paraId="194E5C46"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El II - Winda K12</w:t>
            </w:r>
          </w:p>
        </w:tc>
        <w:tc>
          <w:tcPr>
            <w:tcW w:w="1826" w:type="dxa"/>
            <w:vAlign w:val="center"/>
          </w:tcPr>
          <w:p w14:paraId="194E5C47"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 xml:space="preserve">Producent: </w:t>
            </w:r>
            <w:r w:rsidRPr="003F6DD1">
              <w:rPr>
                <w:rFonts w:ascii="Arial" w:hAnsi="Arial" w:cs="Arial"/>
                <w:sz w:val="20"/>
                <w:szCs w:val="20"/>
              </w:rPr>
              <w:t>ZUD - Warszawa</w:t>
            </w:r>
          </w:p>
        </w:tc>
        <w:tc>
          <w:tcPr>
            <w:tcW w:w="994" w:type="dxa"/>
            <w:vAlign w:val="center"/>
          </w:tcPr>
          <w:p w14:paraId="194E5C48"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2</w:t>
            </w:r>
          </w:p>
        </w:tc>
        <w:tc>
          <w:tcPr>
            <w:tcW w:w="1467" w:type="dxa"/>
            <w:vAlign w:val="center"/>
          </w:tcPr>
          <w:p w14:paraId="194E5C49"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3122000870</w:t>
            </w:r>
          </w:p>
        </w:tc>
      </w:tr>
      <w:tr w:rsidR="004D7605" w14:paraId="194E5C51" w14:textId="77777777" w:rsidTr="000635C6">
        <w:trPr>
          <w:trHeight w:val="850"/>
        </w:trPr>
        <w:tc>
          <w:tcPr>
            <w:tcW w:w="562" w:type="dxa"/>
            <w:vAlign w:val="center"/>
          </w:tcPr>
          <w:p w14:paraId="194E5C4B"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3.</w:t>
            </w:r>
          </w:p>
        </w:tc>
        <w:tc>
          <w:tcPr>
            <w:tcW w:w="1559" w:type="dxa"/>
            <w:vAlign w:val="center"/>
          </w:tcPr>
          <w:p w14:paraId="194E5C4C"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Suwnica</w:t>
            </w:r>
          </w:p>
        </w:tc>
        <w:tc>
          <w:tcPr>
            <w:tcW w:w="2001" w:type="dxa"/>
            <w:vAlign w:val="center"/>
          </w:tcPr>
          <w:p w14:paraId="194E5C4D"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El II</w:t>
            </w:r>
          </w:p>
        </w:tc>
        <w:tc>
          <w:tcPr>
            <w:tcW w:w="1826" w:type="dxa"/>
            <w:vAlign w:val="center"/>
          </w:tcPr>
          <w:p w14:paraId="194E5C4E"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FUT Świętochłowice</w:t>
            </w:r>
          </w:p>
        </w:tc>
        <w:tc>
          <w:tcPr>
            <w:tcW w:w="994" w:type="dxa"/>
            <w:vAlign w:val="center"/>
          </w:tcPr>
          <w:p w14:paraId="194E5C4F"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100/15</w:t>
            </w:r>
          </w:p>
        </w:tc>
        <w:tc>
          <w:tcPr>
            <w:tcW w:w="1467" w:type="dxa"/>
            <w:vAlign w:val="center"/>
          </w:tcPr>
          <w:p w14:paraId="194E5C50"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3322002016</w:t>
            </w:r>
          </w:p>
        </w:tc>
      </w:tr>
      <w:tr w:rsidR="004D7605" w14:paraId="194E5C58" w14:textId="77777777" w:rsidTr="000635C6">
        <w:trPr>
          <w:trHeight w:val="850"/>
        </w:trPr>
        <w:tc>
          <w:tcPr>
            <w:tcW w:w="562" w:type="dxa"/>
            <w:vAlign w:val="center"/>
          </w:tcPr>
          <w:p w14:paraId="194E5C52"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4.</w:t>
            </w:r>
          </w:p>
        </w:tc>
        <w:tc>
          <w:tcPr>
            <w:tcW w:w="1559" w:type="dxa"/>
            <w:vAlign w:val="center"/>
          </w:tcPr>
          <w:p w14:paraId="194E5C53"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Suwnica</w:t>
            </w:r>
          </w:p>
        </w:tc>
        <w:tc>
          <w:tcPr>
            <w:tcW w:w="2001" w:type="dxa"/>
            <w:vAlign w:val="center"/>
          </w:tcPr>
          <w:p w14:paraId="194E5C54"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El II</w:t>
            </w:r>
          </w:p>
        </w:tc>
        <w:tc>
          <w:tcPr>
            <w:tcW w:w="1826" w:type="dxa"/>
            <w:vAlign w:val="center"/>
          </w:tcPr>
          <w:p w14:paraId="194E5C55"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FUT Świętochłowice</w:t>
            </w:r>
          </w:p>
        </w:tc>
        <w:tc>
          <w:tcPr>
            <w:tcW w:w="994" w:type="dxa"/>
            <w:vAlign w:val="center"/>
          </w:tcPr>
          <w:p w14:paraId="194E5C56"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10</w:t>
            </w:r>
          </w:p>
        </w:tc>
        <w:tc>
          <w:tcPr>
            <w:tcW w:w="1467" w:type="dxa"/>
            <w:vAlign w:val="center"/>
          </w:tcPr>
          <w:p w14:paraId="194E5C57"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3322000996</w:t>
            </w:r>
          </w:p>
        </w:tc>
      </w:tr>
      <w:tr w:rsidR="004D7605" w14:paraId="194E5C5F" w14:textId="77777777" w:rsidTr="000635C6">
        <w:trPr>
          <w:trHeight w:val="850"/>
        </w:trPr>
        <w:tc>
          <w:tcPr>
            <w:tcW w:w="562" w:type="dxa"/>
            <w:vAlign w:val="center"/>
          </w:tcPr>
          <w:p w14:paraId="194E5C59"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5.</w:t>
            </w:r>
          </w:p>
        </w:tc>
        <w:tc>
          <w:tcPr>
            <w:tcW w:w="1559" w:type="dxa"/>
            <w:vAlign w:val="center"/>
          </w:tcPr>
          <w:p w14:paraId="194E5C5A"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Suwnica</w:t>
            </w:r>
          </w:p>
        </w:tc>
        <w:tc>
          <w:tcPr>
            <w:tcW w:w="2001" w:type="dxa"/>
            <w:vAlign w:val="center"/>
          </w:tcPr>
          <w:p w14:paraId="194E5C5B"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El III</w:t>
            </w:r>
          </w:p>
        </w:tc>
        <w:tc>
          <w:tcPr>
            <w:tcW w:w="1826" w:type="dxa"/>
            <w:vAlign w:val="center"/>
          </w:tcPr>
          <w:p w14:paraId="194E5C5C"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hAnsi="Arial" w:cs="Arial"/>
                <w:sz w:val="20"/>
                <w:szCs w:val="20"/>
              </w:rPr>
              <w:t>GZUT Gliwice</w:t>
            </w:r>
          </w:p>
        </w:tc>
        <w:tc>
          <w:tcPr>
            <w:tcW w:w="994" w:type="dxa"/>
            <w:vAlign w:val="center"/>
          </w:tcPr>
          <w:p w14:paraId="194E5C5D"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50/10</w:t>
            </w:r>
          </w:p>
        </w:tc>
        <w:tc>
          <w:tcPr>
            <w:tcW w:w="1467" w:type="dxa"/>
            <w:vAlign w:val="center"/>
          </w:tcPr>
          <w:p w14:paraId="194E5C5E" w14:textId="77777777" w:rsidR="004D7605" w:rsidRPr="003F6DD1" w:rsidRDefault="004D7605" w:rsidP="000635C6">
            <w:pPr>
              <w:pStyle w:val="Akapitzlist"/>
              <w:spacing w:line="276" w:lineRule="auto"/>
              <w:ind w:left="0"/>
              <w:contextualSpacing w:val="0"/>
              <w:jc w:val="center"/>
              <w:rPr>
                <w:rFonts w:ascii="Arial" w:eastAsia="Calibri" w:hAnsi="Arial" w:cs="Arial"/>
                <w:sz w:val="20"/>
                <w:szCs w:val="20"/>
              </w:rPr>
            </w:pPr>
            <w:r w:rsidRPr="003F6DD1">
              <w:rPr>
                <w:rFonts w:ascii="Arial" w:eastAsia="Calibri" w:hAnsi="Arial" w:cs="Arial"/>
                <w:sz w:val="20"/>
                <w:szCs w:val="20"/>
              </w:rPr>
              <w:t>3322002124</w:t>
            </w:r>
          </w:p>
        </w:tc>
      </w:tr>
    </w:tbl>
    <w:p w14:paraId="194E5C60" w14:textId="77777777" w:rsidR="004D7605" w:rsidRPr="003F6DD1" w:rsidRDefault="004D7605" w:rsidP="003B2D0D">
      <w:pPr>
        <w:pStyle w:val="Akapitzlist"/>
        <w:numPr>
          <w:ilvl w:val="0"/>
          <w:numId w:val="1"/>
        </w:numPr>
        <w:spacing w:before="240" w:after="120" w:line="276" w:lineRule="auto"/>
        <w:ind w:left="426" w:hanging="357"/>
        <w:contextualSpacing w:val="0"/>
        <w:jc w:val="both"/>
        <w:rPr>
          <w:rFonts w:ascii="Arial" w:eastAsia="Calibri" w:hAnsi="Arial" w:cs="Arial"/>
          <w:sz w:val="20"/>
          <w:szCs w:val="20"/>
        </w:rPr>
      </w:pPr>
      <w:r w:rsidRPr="003F6DD1">
        <w:rPr>
          <w:rFonts w:ascii="Arial" w:eastAsia="Calibri" w:hAnsi="Arial" w:cs="Arial"/>
          <w:sz w:val="20"/>
          <w:szCs w:val="20"/>
        </w:rPr>
        <w:t xml:space="preserve">Zakres prac </w:t>
      </w:r>
    </w:p>
    <w:p w14:paraId="194E5C61" w14:textId="77777777" w:rsidR="004D7605" w:rsidRPr="003F6DD1" w:rsidRDefault="004D7605" w:rsidP="004D7605">
      <w:pPr>
        <w:pStyle w:val="Akapitzlist"/>
        <w:numPr>
          <w:ilvl w:val="1"/>
          <w:numId w:val="1"/>
        </w:numPr>
        <w:spacing w:after="0" w:line="276" w:lineRule="auto"/>
        <w:contextualSpacing w:val="0"/>
        <w:jc w:val="both"/>
        <w:rPr>
          <w:rFonts w:ascii="Arial" w:eastAsia="Calibri" w:hAnsi="Arial" w:cs="Arial"/>
          <w:sz w:val="20"/>
          <w:szCs w:val="20"/>
        </w:rPr>
      </w:pPr>
      <w:r w:rsidRPr="003F6DD1">
        <w:rPr>
          <w:rFonts w:ascii="Arial" w:eastAsia="Calibri" w:hAnsi="Arial" w:cs="Arial"/>
          <w:sz w:val="20"/>
          <w:szCs w:val="20"/>
        </w:rPr>
        <w:t>Zakres prac przeglądowych realizowany na dźwigach towarowo- osobowych:</w:t>
      </w:r>
    </w:p>
    <w:p w14:paraId="194E5C62" w14:textId="77777777" w:rsidR="004D7605" w:rsidRPr="003F6DD1" w:rsidRDefault="004D7605" w:rsidP="004D7605">
      <w:pPr>
        <w:pStyle w:val="Akapitzlist"/>
        <w:numPr>
          <w:ilvl w:val="2"/>
          <w:numId w:val="1"/>
        </w:numPr>
        <w:spacing w:after="0" w:line="276" w:lineRule="auto"/>
        <w:contextualSpacing w:val="0"/>
        <w:jc w:val="both"/>
        <w:rPr>
          <w:rFonts w:ascii="Arial" w:eastAsia="Calibri" w:hAnsi="Arial" w:cs="Arial"/>
          <w:sz w:val="20"/>
          <w:szCs w:val="20"/>
        </w:rPr>
      </w:pPr>
      <w:r w:rsidRPr="003F6DD1">
        <w:rPr>
          <w:rFonts w:ascii="Arial" w:eastAsia="Calibri" w:hAnsi="Arial" w:cs="Arial"/>
          <w:sz w:val="20"/>
          <w:szCs w:val="20"/>
        </w:rPr>
        <w:t xml:space="preserve">Kontrola i ocena elementów napędowych: sprzęgło, przekładnia, koło zdawcze, mocowań lin, zacisków linowych. </w:t>
      </w:r>
    </w:p>
    <w:p w14:paraId="194E5C63" w14:textId="77777777" w:rsidR="004D7605" w:rsidRPr="003F6DD1" w:rsidRDefault="004D7605" w:rsidP="004D7605">
      <w:pPr>
        <w:pStyle w:val="Akapitzlist"/>
        <w:numPr>
          <w:ilvl w:val="2"/>
          <w:numId w:val="1"/>
        </w:numPr>
        <w:spacing w:after="0" w:line="276" w:lineRule="auto"/>
        <w:contextualSpacing w:val="0"/>
        <w:jc w:val="both"/>
        <w:rPr>
          <w:rFonts w:ascii="Arial" w:eastAsia="Calibri" w:hAnsi="Arial" w:cs="Arial"/>
          <w:sz w:val="20"/>
          <w:szCs w:val="20"/>
        </w:rPr>
      </w:pPr>
      <w:r w:rsidRPr="003F6DD1">
        <w:rPr>
          <w:rFonts w:ascii="Arial" w:eastAsia="Calibri" w:hAnsi="Arial" w:cs="Arial"/>
          <w:sz w:val="20"/>
          <w:szCs w:val="20"/>
        </w:rPr>
        <w:t xml:space="preserve">Uzupełnienie oleju, wymiana. </w:t>
      </w:r>
    </w:p>
    <w:p w14:paraId="194E5C64" w14:textId="77777777" w:rsidR="004D7605" w:rsidRPr="003F6DD1" w:rsidRDefault="004D7605" w:rsidP="004D7605">
      <w:pPr>
        <w:pStyle w:val="Akapitzlist"/>
        <w:numPr>
          <w:ilvl w:val="2"/>
          <w:numId w:val="1"/>
        </w:numPr>
        <w:spacing w:after="0" w:line="276" w:lineRule="auto"/>
        <w:contextualSpacing w:val="0"/>
        <w:jc w:val="both"/>
        <w:rPr>
          <w:rFonts w:ascii="Arial" w:eastAsia="Calibri" w:hAnsi="Arial" w:cs="Arial"/>
          <w:sz w:val="20"/>
          <w:szCs w:val="20"/>
        </w:rPr>
      </w:pPr>
      <w:r w:rsidRPr="003F6DD1">
        <w:rPr>
          <w:rFonts w:ascii="Arial" w:eastAsia="Calibri" w:hAnsi="Arial" w:cs="Arial"/>
          <w:sz w:val="20"/>
          <w:szCs w:val="20"/>
        </w:rPr>
        <w:t xml:space="preserve">Smarowanie prowadnic w szybie. </w:t>
      </w:r>
    </w:p>
    <w:p w14:paraId="194E5C65" w14:textId="77777777" w:rsidR="004D7605" w:rsidRPr="003F6DD1" w:rsidRDefault="004D7605" w:rsidP="004D7605">
      <w:pPr>
        <w:pStyle w:val="Akapitzlist"/>
        <w:numPr>
          <w:ilvl w:val="2"/>
          <w:numId w:val="1"/>
        </w:numPr>
        <w:spacing w:after="0" w:line="276" w:lineRule="auto"/>
        <w:contextualSpacing w:val="0"/>
        <w:jc w:val="both"/>
        <w:rPr>
          <w:rFonts w:ascii="Arial" w:eastAsia="Calibri" w:hAnsi="Arial" w:cs="Arial"/>
          <w:sz w:val="20"/>
          <w:szCs w:val="20"/>
        </w:rPr>
      </w:pPr>
      <w:r w:rsidRPr="003F6DD1">
        <w:rPr>
          <w:rFonts w:ascii="Arial" w:eastAsia="Calibri" w:hAnsi="Arial" w:cs="Arial"/>
          <w:sz w:val="20"/>
          <w:szCs w:val="20"/>
        </w:rPr>
        <w:t xml:space="preserve">Regulacja hamulców, badanie reduktorów. </w:t>
      </w:r>
    </w:p>
    <w:p w14:paraId="194E5C66" w14:textId="77777777" w:rsidR="004D7605" w:rsidRPr="003F6DD1" w:rsidRDefault="004D7605" w:rsidP="004D7605">
      <w:pPr>
        <w:pStyle w:val="Akapitzlist"/>
        <w:numPr>
          <w:ilvl w:val="2"/>
          <w:numId w:val="1"/>
        </w:numPr>
        <w:spacing w:after="0" w:line="276" w:lineRule="auto"/>
        <w:contextualSpacing w:val="0"/>
        <w:jc w:val="both"/>
        <w:rPr>
          <w:rFonts w:ascii="Arial" w:eastAsia="Calibri" w:hAnsi="Arial" w:cs="Arial"/>
          <w:sz w:val="20"/>
          <w:szCs w:val="20"/>
        </w:rPr>
      </w:pPr>
      <w:r w:rsidRPr="003F6DD1">
        <w:rPr>
          <w:rFonts w:ascii="Arial" w:eastAsia="Calibri" w:hAnsi="Arial" w:cs="Arial"/>
          <w:sz w:val="20"/>
          <w:szCs w:val="20"/>
        </w:rPr>
        <w:t>Przeprowadzenie czynności wyżej nie wymienionych, w tym smarowniczych, według dokumentacji techniczno – ruchowej urządzenia.</w:t>
      </w:r>
    </w:p>
    <w:p w14:paraId="194E5C67" w14:textId="77777777" w:rsidR="004D7605" w:rsidRPr="003F6DD1" w:rsidRDefault="004D7605" w:rsidP="004D7605">
      <w:pPr>
        <w:pStyle w:val="Akapitzlist"/>
        <w:numPr>
          <w:ilvl w:val="2"/>
          <w:numId w:val="1"/>
        </w:numPr>
        <w:spacing w:after="0" w:line="276" w:lineRule="auto"/>
        <w:jc w:val="both"/>
        <w:rPr>
          <w:rFonts w:ascii="Arial" w:eastAsia="Calibri" w:hAnsi="Arial" w:cs="Arial"/>
          <w:sz w:val="20"/>
          <w:szCs w:val="20"/>
        </w:rPr>
      </w:pPr>
      <w:r w:rsidRPr="003F6DD1">
        <w:rPr>
          <w:rFonts w:ascii="Arial" w:eastAsia="Calibri" w:hAnsi="Arial" w:cs="Arial"/>
          <w:sz w:val="20"/>
          <w:szCs w:val="20"/>
        </w:rPr>
        <w:t>Kontrola elementów sterowniczych: czyszczenie styków, styczników, przekaźników.</w:t>
      </w:r>
    </w:p>
    <w:p w14:paraId="194E5C68" w14:textId="77777777" w:rsidR="004D7605" w:rsidRPr="003F6DD1" w:rsidRDefault="004D7605" w:rsidP="004D7605">
      <w:pPr>
        <w:pStyle w:val="Akapitzlist"/>
        <w:numPr>
          <w:ilvl w:val="2"/>
          <w:numId w:val="1"/>
        </w:numPr>
        <w:spacing w:after="0" w:line="276" w:lineRule="auto"/>
        <w:jc w:val="both"/>
        <w:rPr>
          <w:rFonts w:ascii="Arial" w:eastAsia="Calibri" w:hAnsi="Arial" w:cs="Arial"/>
          <w:sz w:val="20"/>
          <w:szCs w:val="20"/>
        </w:rPr>
      </w:pPr>
      <w:r w:rsidRPr="003F6DD1">
        <w:rPr>
          <w:rFonts w:ascii="Arial" w:eastAsia="Calibri" w:hAnsi="Arial" w:cs="Arial"/>
          <w:sz w:val="20"/>
          <w:szCs w:val="20"/>
        </w:rPr>
        <w:t xml:space="preserve">Regulacja wyłączników krańcowych, dokręcanie luźnych końcówek przewodów do listew zaciskowych, wykonanie pomiarów elektrycznych. </w:t>
      </w:r>
    </w:p>
    <w:p w14:paraId="194E5C69" w14:textId="77777777" w:rsidR="004D7605" w:rsidRPr="003F6DD1" w:rsidRDefault="004D7605" w:rsidP="004D7605">
      <w:pPr>
        <w:pStyle w:val="Akapitzlist"/>
        <w:numPr>
          <w:ilvl w:val="2"/>
          <w:numId w:val="1"/>
        </w:numPr>
        <w:spacing w:after="0" w:line="276" w:lineRule="auto"/>
        <w:jc w:val="both"/>
        <w:rPr>
          <w:rFonts w:ascii="Arial" w:eastAsia="Calibri" w:hAnsi="Arial" w:cs="Arial"/>
          <w:sz w:val="20"/>
          <w:szCs w:val="20"/>
        </w:rPr>
      </w:pPr>
      <w:r w:rsidRPr="003F6DD1">
        <w:rPr>
          <w:rFonts w:ascii="Arial" w:eastAsia="Calibri" w:hAnsi="Arial" w:cs="Arial"/>
          <w:sz w:val="20"/>
          <w:szCs w:val="20"/>
        </w:rPr>
        <w:t xml:space="preserve">Kontrola instalacji zasilającej, sterowniczej, aparatów sterowych, kontaktów, rygli drzwiowych, luzownika, silnika, ogranicznika prędkości, chwytaczy, pomiary elektryczne. </w:t>
      </w:r>
    </w:p>
    <w:p w14:paraId="194E5C6A" w14:textId="77777777" w:rsidR="004D7605" w:rsidRPr="003F6DD1" w:rsidRDefault="004D7605" w:rsidP="004D7605">
      <w:pPr>
        <w:pStyle w:val="Akapitzlist"/>
        <w:numPr>
          <w:ilvl w:val="2"/>
          <w:numId w:val="1"/>
        </w:numPr>
        <w:spacing w:after="0" w:line="276" w:lineRule="auto"/>
        <w:contextualSpacing w:val="0"/>
        <w:jc w:val="both"/>
        <w:rPr>
          <w:rFonts w:ascii="Arial" w:eastAsia="Calibri" w:hAnsi="Arial" w:cs="Arial"/>
          <w:sz w:val="20"/>
          <w:szCs w:val="20"/>
        </w:rPr>
      </w:pPr>
      <w:r w:rsidRPr="003F6DD1">
        <w:rPr>
          <w:rFonts w:ascii="Arial" w:eastAsia="Calibri" w:hAnsi="Arial" w:cs="Arial"/>
          <w:sz w:val="20"/>
          <w:szCs w:val="20"/>
        </w:rPr>
        <w:t>Wykonanie innych czynności po stronie elektrycznej, nie wymienionych powyżej, a które zapisane są w dokumentacji techniczno ‒ ruchowej urządzenia.</w:t>
      </w:r>
    </w:p>
    <w:p w14:paraId="194E5C6B" w14:textId="77777777" w:rsidR="004D7605" w:rsidRDefault="004D7605" w:rsidP="004D7605">
      <w:pPr>
        <w:rPr>
          <w:rFonts w:ascii="Arial" w:eastAsia="Calibri" w:hAnsi="Arial" w:cs="Arial"/>
          <w:sz w:val="20"/>
          <w:szCs w:val="20"/>
        </w:rPr>
      </w:pPr>
    </w:p>
    <w:p w14:paraId="194E5C6C" w14:textId="77777777" w:rsidR="004D7605" w:rsidRPr="003F6DD1" w:rsidRDefault="004D7605" w:rsidP="004D7605">
      <w:pPr>
        <w:pStyle w:val="Akapitzlist"/>
        <w:numPr>
          <w:ilvl w:val="1"/>
          <w:numId w:val="1"/>
        </w:numPr>
        <w:spacing w:after="0" w:line="276" w:lineRule="auto"/>
        <w:contextualSpacing w:val="0"/>
        <w:jc w:val="both"/>
        <w:rPr>
          <w:rFonts w:ascii="Arial" w:eastAsia="Calibri" w:hAnsi="Arial" w:cs="Arial"/>
          <w:sz w:val="20"/>
          <w:szCs w:val="20"/>
        </w:rPr>
      </w:pPr>
      <w:r w:rsidRPr="003F6DD1">
        <w:rPr>
          <w:rFonts w:ascii="Arial" w:eastAsia="Calibri" w:hAnsi="Arial" w:cs="Arial"/>
          <w:sz w:val="20"/>
          <w:szCs w:val="20"/>
        </w:rPr>
        <w:t>Zakres prac przeglądowych realizowany na suwnicach:</w:t>
      </w:r>
    </w:p>
    <w:p w14:paraId="194E5C6D" w14:textId="77777777" w:rsidR="004D7605" w:rsidRPr="003F6DD1" w:rsidRDefault="004D7605" w:rsidP="004D7605">
      <w:pPr>
        <w:pStyle w:val="Akapitzlist"/>
        <w:numPr>
          <w:ilvl w:val="2"/>
          <w:numId w:val="1"/>
        </w:numPr>
        <w:spacing w:after="0" w:line="276" w:lineRule="auto"/>
        <w:jc w:val="both"/>
        <w:rPr>
          <w:rFonts w:ascii="Arial" w:eastAsia="Calibri" w:hAnsi="Arial" w:cs="Arial"/>
          <w:sz w:val="20"/>
          <w:szCs w:val="20"/>
        </w:rPr>
      </w:pPr>
      <w:r w:rsidRPr="003F6DD1">
        <w:rPr>
          <w:rFonts w:ascii="Arial" w:eastAsia="Calibri" w:hAnsi="Arial" w:cs="Arial"/>
          <w:sz w:val="20"/>
          <w:szCs w:val="20"/>
        </w:rPr>
        <w:t xml:space="preserve">Kontrola i ocena mechanizmu jazdy wózka, mostu i wciągarki: bębny linowe, koła jezdne, przekładnie, sprzęgła, wały napędowe, zblocze, czerpak, liny nośne, konstrukcja nośna, </w:t>
      </w:r>
      <w:r w:rsidRPr="003F6DD1">
        <w:rPr>
          <w:rFonts w:ascii="Arial" w:eastAsia="Calibri" w:hAnsi="Arial" w:cs="Arial"/>
          <w:sz w:val="20"/>
          <w:szCs w:val="20"/>
        </w:rPr>
        <w:lastRenderedPageBreak/>
        <w:t>zderzaki, badanie nieniszczące haków. Regulacja hamulców, uzupełnienie/wymiana oleju, smarowanie mechanizmów napędowych.</w:t>
      </w:r>
    </w:p>
    <w:p w14:paraId="194E5C6E" w14:textId="77777777" w:rsidR="004D7605" w:rsidRPr="003F6DD1" w:rsidRDefault="004D7605" w:rsidP="004D7605">
      <w:pPr>
        <w:pStyle w:val="Akapitzlist"/>
        <w:numPr>
          <w:ilvl w:val="2"/>
          <w:numId w:val="1"/>
        </w:numPr>
        <w:spacing w:after="0" w:line="276" w:lineRule="auto"/>
        <w:contextualSpacing w:val="0"/>
        <w:jc w:val="both"/>
        <w:rPr>
          <w:rFonts w:ascii="Arial" w:eastAsia="Calibri" w:hAnsi="Arial" w:cs="Arial"/>
          <w:sz w:val="20"/>
          <w:szCs w:val="20"/>
        </w:rPr>
      </w:pPr>
      <w:r w:rsidRPr="003F6DD1">
        <w:rPr>
          <w:rFonts w:ascii="Arial" w:eastAsia="Calibri" w:hAnsi="Arial" w:cs="Arial"/>
          <w:sz w:val="20"/>
          <w:szCs w:val="20"/>
        </w:rPr>
        <w:t>Przeprowadzenie czynności wyżej nie wymienionych ‒ w tym smarowniczych, według dokumentacji techniczno ‒ ruchowej urządzenia.</w:t>
      </w:r>
    </w:p>
    <w:p w14:paraId="194E5C6F" w14:textId="77777777" w:rsidR="004D7605" w:rsidRPr="003F6DD1" w:rsidRDefault="004D7605" w:rsidP="004D7605">
      <w:pPr>
        <w:pStyle w:val="Akapitzlist"/>
        <w:numPr>
          <w:ilvl w:val="2"/>
          <w:numId w:val="1"/>
        </w:numPr>
        <w:spacing w:after="0" w:line="276" w:lineRule="auto"/>
        <w:contextualSpacing w:val="0"/>
        <w:jc w:val="both"/>
        <w:rPr>
          <w:rFonts w:ascii="Arial" w:eastAsia="Calibri" w:hAnsi="Arial" w:cs="Arial"/>
          <w:sz w:val="20"/>
          <w:szCs w:val="20"/>
        </w:rPr>
      </w:pPr>
      <w:r w:rsidRPr="003F6DD1">
        <w:rPr>
          <w:rFonts w:ascii="Arial" w:eastAsia="Calibri" w:hAnsi="Arial" w:cs="Arial"/>
          <w:sz w:val="20"/>
          <w:szCs w:val="20"/>
        </w:rPr>
        <w:t>Kontrola elementów sterowniczych: instalacji zasilającej, sterowniczej, czyszczenie styków, styczników, przekaźników w szafie sterowniczej. Regulacja wyłączników krańcowych, dokręcenie luźnych końcówek przewodów do listew zaciskowych. Kontrola pracy aparatów sterowych, luzownika, silników, wykonanie pomiarów elektrycznych. Wykonanie innych czynności po stronie elektrycznej, nie wymienionych powyżej, a które zapisane są w dokumentacji techniczno ‒ ruchowej urządzenia.</w:t>
      </w:r>
    </w:p>
    <w:p w14:paraId="194E5C70" w14:textId="77777777" w:rsidR="004D7605" w:rsidRPr="003F6DD1" w:rsidRDefault="004D7605" w:rsidP="004D7605">
      <w:pPr>
        <w:pStyle w:val="Akapitzlist"/>
        <w:numPr>
          <w:ilvl w:val="1"/>
          <w:numId w:val="1"/>
        </w:numPr>
        <w:spacing w:after="0" w:line="276" w:lineRule="auto"/>
        <w:contextualSpacing w:val="0"/>
        <w:jc w:val="both"/>
        <w:rPr>
          <w:rFonts w:ascii="Arial" w:eastAsia="Calibri" w:hAnsi="Arial" w:cs="Arial"/>
          <w:sz w:val="20"/>
          <w:szCs w:val="20"/>
        </w:rPr>
      </w:pPr>
      <w:r w:rsidRPr="003F6DD1">
        <w:rPr>
          <w:rFonts w:ascii="Arial" w:eastAsia="Calibri" w:hAnsi="Arial" w:cs="Arial"/>
          <w:sz w:val="20"/>
          <w:szCs w:val="20"/>
        </w:rPr>
        <w:t>Prowadzenie na bieżąco dziennika konserwacji urządzenia.</w:t>
      </w:r>
    </w:p>
    <w:p w14:paraId="194E5C71" w14:textId="77777777" w:rsidR="004D7605" w:rsidRPr="003F6DD1" w:rsidRDefault="004D7605" w:rsidP="004D7605">
      <w:pPr>
        <w:pStyle w:val="Akapitzlist"/>
        <w:numPr>
          <w:ilvl w:val="1"/>
          <w:numId w:val="1"/>
        </w:numPr>
        <w:spacing w:after="0" w:line="276" w:lineRule="auto"/>
        <w:contextualSpacing w:val="0"/>
        <w:jc w:val="both"/>
        <w:rPr>
          <w:rFonts w:ascii="Arial" w:eastAsia="Calibri" w:hAnsi="Arial" w:cs="Arial"/>
          <w:sz w:val="20"/>
          <w:szCs w:val="20"/>
        </w:rPr>
      </w:pPr>
      <w:r w:rsidRPr="003F6DD1">
        <w:rPr>
          <w:rFonts w:ascii="Arial" w:eastAsia="Calibri" w:hAnsi="Arial" w:cs="Arial"/>
          <w:sz w:val="20"/>
          <w:szCs w:val="20"/>
        </w:rPr>
        <w:t>Przygotowanie urządzenia do odbiorów technicznych wraz z dostarczeniem ciężarów i czynny udział podczas czynności odbiorowych przez inspektora UDT.</w:t>
      </w:r>
    </w:p>
    <w:p w14:paraId="194E5C72" w14:textId="77777777" w:rsidR="004D7605" w:rsidRPr="003F6DD1" w:rsidRDefault="004D7605" w:rsidP="004D7605">
      <w:pPr>
        <w:pStyle w:val="Akapitzlist"/>
        <w:numPr>
          <w:ilvl w:val="1"/>
          <w:numId w:val="1"/>
        </w:numPr>
        <w:spacing w:after="0" w:line="276" w:lineRule="auto"/>
        <w:ind w:left="788" w:hanging="431"/>
        <w:contextualSpacing w:val="0"/>
        <w:jc w:val="both"/>
        <w:rPr>
          <w:rFonts w:ascii="Arial" w:eastAsia="Calibri" w:hAnsi="Arial" w:cs="Arial"/>
          <w:sz w:val="20"/>
          <w:szCs w:val="20"/>
        </w:rPr>
      </w:pPr>
      <w:r w:rsidRPr="003F6DD1">
        <w:rPr>
          <w:rFonts w:ascii="Arial" w:eastAsia="Calibri" w:hAnsi="Arial" w:cs="Arial"/>
          <w:sz w:val="20"/>
          <w:szCs w:val="20"/>
        </w:rPr>
        <w:t>Transport urządzenia po stronie Wykonawcy.</w:t>
      </w:r>
    </w:p>
    <w:p w14:paraId="194E5C73" w14:textId="77777777" w:rsidR="004D7605" w:rsidRPr="003F6DD1" w:rsidRDefault="004D7605" w:rsidP="004D7605">
      <w:pPr>
        <w:pStyle w:val="Akapitzlist"/>
        <w:numPr>
          <w:ilvl w:val="0"/>
          <w:numId w:val="1"/>
        </w:numPr>
        <w:spacing w:before="120" w:after="120" w:line="276" w:lineRule="auto"/>
        <w:ind w:left="357" w:hanging="357"/>
        <w:contextualSpacing w:val="0"/>
        <w:jc w:val="both"/>
        <w:rPr>
          <w:rFonts w:ascii="Arial" w:hAnsi="Arial" w:cs="Arial"/>
          <w:sz w:val="20"/>
          <w:szCs w:val="20"/>
        </w:rPr>
      </w:pPr>
      <w:r w:rsidRPr="003F6DD1">
        <w:rPr>
          <w:rFonts w:ascii="Arial" w:hAnsi="Arial" w:cs="Arial"/>
          <w:sz w:val="20"/>
          <w:szCs w:val="20"/>
        </w:rPr>
        <w:t>Ogólne warunki realizacji prac.</w:t>
      </w:r>
    </w:p>
    <w:p w14:paraId="194E5C74" w14:textId="77777777" w:rsidR="004D7605" w:rsidRPr="00667AF8" w:rsidRDefault="004D7605" w:rsidP="004D7605">
      <w:pPr>
        <w:pStyle w:val="Akapitzlist"/>
        <w:numPr>
          <w:ilvl w:val="1"/>
          <w:numId w:val="1"/>
        </w:numPr>
        <w:spacing w:after="0"/>
        <w:contextualSpacing w:val="0"/>
        <w:jc w:val="both"/>
        <w:rPr>
          <w:rFonts w:ascii="Arial" w:hAnsi="Arial" w:cs="Arial"/>
          <w:sz w:val="20"/>
          <w:szCs w:val="20"/>
        </w:rPr>
      </w:pPr>
      <w:r w:rsidRPr="003F6DD1">
        <w:rPr>
          <w:rFonts w:ascii="Arial" w:hAnsi="Arial" w:cs="Arial"/>
          <w:sz w:val="20"/>
          <w:szCs w:val="20"/>
        </w:rPr>
        <w:t>Wykonawca przed przekazaniem urządzenia do uruchomienia</w:t>
      </w:r>
      <w:r w:rsidRPr="00667AF8">
        <w:rPr>
          <w:rFonts w:ascii="Arial" w:hAnsi="Arial" w:cs="Arial"/>
          <w:sz w:val="20"/>
          <w:szCs w:val="20"/>
        </w:rPr>
        <w:t xml:space="preserve"> po wykonaniu prac wyczyści swoje miejsca pracy oraz obszary, które uległy zabrudzeniu w wyniku prac remontowych. Czyszczenie obejmuje więc wszelkie zabrudzone w trakcie remontu obiekty typu: podesty i</w:t>
      </w:r>
      <w:r>
        <w:rPr>
          <w:rFonts w:ascii="Arial" w:hAnsi="Arial" w:cs="Arial"/>
          <w:sz w:val="20"/>
          <w:szCs w:val="20"/>
        </w:rPr>
        <w:t> </w:t>
      </w:r>
      <w:r w:rsidRPr="00667AF8">
        <w:rPr>
          <w:rFonts w:ascii="Arial" w:hAnsi="Arial" w:cs="Arial"/>
          <w:sz w:val="20"/>
          <w:szCs w:val="20"/>
        </w:rPr>
        <w:t>posadzki, rurociągi z ich zawieszeniami, kable, ławy kablowe, szafy elektryczne, zadaszenia, schody, osłony.</w:t>
      </w:r>
    </w:p>
    <w:p w14:paraId="194E5C75" w14:textId="77777777" w:rsidR="004D7605" w:rsidRPr="00667AF8" w:rsidRDefault="004D7605" w:rsidP="004D7605">
      <w:pPr>
        <w:pStyle w:val="Akapitzlist"/>
        <w:numPr>
          <w:ilvl w:val="1"/>
          <w:numId w:val="1"/>
        </w:numPr>
        <w:spacing w:after="0"/>
        <w:contextualSpacing w:val="0"/>
        <w:jc w:val="both"/>
        <w:rPr>
          <w:rFonts w:ascii="Arial" w:hAnsi="Arial" w:cs="Arial"/>
          <w:sz w:val="20"/>
          <w:szCs w:val="20"/>
        </w:rPr>
      </w:pPr>
      <w:r w:rsidRPr="00667AF8">
        <w:rPr>
          <w:rFonts w:ascii="Arial" w:hAnsi="Arial" w:cs="Arial"/>
          <w:sz w:val="20"/>
          <w:szCs w:val="20"/>
        </w:rPr>
        <w:t>Zamawiający informuje, że nie dysponuje żadnymi środkami transportu. W związku z powyższym Wykonawca w ramach ceny Przedmiotu Umowy zapewni wszelkie transporty materiałów i części oraz narzędzi, które mają być pobierane z magazynu i zdawane na magazyn, czy transportowane na warsztat mechaniczny</w:t>
      </w:r>
    </w:p>
    <w:p w14:paraId="194E5C76" w14:textId="77777777" w:rsidR="004D7605" w:rsidRPr="00667AF8" w:rsidRDefault="004D7605" w:rsidP="004D7605">
      <w:pPr>
        <w:pStyle w:val="Akapitzlist"/>
        <w:numPr>
          <w:ilvl w:val="1"/>
          <w:numId w:val="1"/>
        </w:numPr>
        <w:spacing w:after="0"/>
        <w:contextualSpacing w:val="0"/>
        <w:jc w:val="both"/>
        <w:rPr>
          <w:rFonts w:ascii="Arial" w:hAnsi="Arial" w:cs="Arial"/>
          <w:sz w:val="20"/>
          <w:szCs w:val="20"/>
        </w:rPr>
      </w:pPr>
      <w:r w:rsidRPr="00667AF8">
        <w:rPr>
          <w:rFonts w:ascii="Arial" w:hAnsi="Arial" w:cs="Arial"/>
          <w:sz w:val="20"/>
          <w:szCs w:val="20"/>
        </w:rPr>
        <w:t>Zamawiający informuje, że nie dysponuje żurawiami, wózkami widłowymi i innymi dźwignicami mobilnymi. W związku z powyższym Wykonawca w ramach ceny Przedmiotu Umowy zapewni sprzęt do rozładunku i załadunku.</w:t>
      </w:r>
    </w:p>
    <w:p w14:paraId="194E5C77" w14:textId="77777777" w:rsidR="004D7605" w:rsidRPr="00667AF8" w:rsidRDefault="004D7605" w:rsidP="004D7605">
      <w:pPr>
        <w:pStyle w:val="Akapitzlist"/>
        <w:numPr>
          <w:ilvl w:val="1"/>
          <w:numId w:val="1"/>
        </w:numPr>
        <w:spacing w:after="0"/>
        <w:contextualSpacing w:val="0"/>
        <w:jc w:val="both"/>
        <w:rPr>
          <w:rFonts w:ascii="Arial" w:hAnsi="Arial" w:cs="Arial"/>
          <w:sz w:val="20"/>
          <w:szCs w:val="20"/>
        </w:rPr>
      </w:pPr>
      <w:r w:rsidRPr="00667AF8">
        <w:rPr>
          <w:rFonts w:ascii="Arial" w:hAnsi="Arial" w:cs="Arial"/>
          <w:sz w:val="20"/>
          <w:szCs w:val="20"/>
        </w:rPr>
        <w:t>Zamawiający wymaga, aby Wykonawca w czasie prowadzenia prac zabezpieczył przed zniszczeniem lub uszkodzeniem płytki posadzkowe oraz kraty podestowe w obszarach jego miejsc pracy.</w:t>
      </w:r>
    </w:p>
    <w:p w14:paraId="194E5C78" w14:textId="77777777" w:rsidR="004D7605" w:rsidRPr="00667AF8" w:rsidRDefault="004D7605" w:rsidP="004D7605">
      <w:pPr>
        <w:pStyle w:val="Akapitzlist"/>
        <w:numPr>
          <w:ilvl w:val="1"/>
          <w:numId w:val="1"/>
        </w:numPr>
        <w:spacing w:after="0"/>
        <w:contextualSpacing w:val="0"/>
        <w:jc w:val="both"/>
        <w:rPr>
          <w:rFonts w:ascii="Arial" w:hAnsi="Arial" w:cs="Arial"/>
          <w:sz w:val="20"/>
          <w:szCs w:val="20"/>
        </w:rPr>
      </w:pPr>
      <w:r w:rsidRPr="00667AF8">
        <w:rPr>
          <w:rFonts w:ascii="Arial" w:hAnsi="Arial" w:cs="Arial"/>
          <w:sz w:val="20"/>
          <w:szCs w:val="20"/>
        </w:rPr>
        <w:t xml:space="preserve">Wykonawca zobowiązany będzie: </w:t>
      </w:r>
    </w:p>
    <w:p w14:paraId="194E5C79" w14:textId="77777777" w:rsidR="004D7605" w:rsidRPr="00667AF8" w:rsidRDefault="004D7605" w:rsidP="004D7605">
      <w:pPr>
        <w:pStyle w:val="Akapitzlist"/>
        <w:spacing w:after="0"/>
        <w:ind w:left="1134" w:hanging="206"/>
        <w:contextualSpacing w:val="0"/>
        <w:jc w:val="both"/>
        <w:rPr>
          <w:rFonts w:ascii="Arial" w:hAnsi="Arial" w:cs="Arial"/>
          <w:sz w:val="20"/>
          <w:szCs w:val="20"/>
        </w:rPr>
      </w:pPr>
      <w:r w:rsidRPr="00667AF8">
        <w:rPr>
          <w:rFonts w:ascii="Arial" w:hAnsi="Arial" w:cs="Arial"/>
          <w:sz w:val="20"/>
          <w:szCs w:val="20"/>
        </w:rPr>
        <w:t xml:space="preserve">- wymienić wszystkie uszkodzone przez niego w trakcie demontażu lub montażu płytki posadzkowe i kraty podestowe, </w:t>
      </w:r>
    </w:p>
    <w:p w14:paraId="194E5C7A" w14:textId="77777777" w:rsidR="004D7605" w:rsidRPr="00667AF8" w:rsidRDefault="004D7605" w:rsidP="004D7605">
      <w:pPr>
        <w:pStyle w:val="Akapitzlist"/>
        <w:spacing w:after="0"/>
        <w:ind w:left="1134" w:hanging="206"/>
        <w:contextualSpacing w:val="0"/>
        <w:jc w:val="both"/>
        <w:rPr>
          <w:rFonts w:ascii="Arial" w:hAnsi="Arial" w:cs="Arial"/>
          <w:sz w:val="20"/>
          <w:szCs w:val="20"/>
        </w:rPr>
      </w:pPr>
      <w:r w:rsidRPr="00667AF8">
        <w:rPr>
          <w:rFonts w:ascii="Arial" w:hAnsi="Arial" w:cs="Arial"/>
          <w:sz w:val="20"/>
          <w:szCs w:val="20"/>
        </w:rPr>
        <w:t>- naprawić wszelkie szkody powstałe w wyniku realizacji przez Wykonawcę Przedmiotu Zlecenia.</w:t>
      </w:r>
    </w:p>
    <w:p w14:paraId="194E5C7B" w14:textId="77777777" w:rsidR="004D7605" w:rsidRPr="00667AF8" w:rsidRDefault="004D7605" w:rsidP="004D7605">
      <w:pPr>
        <w:pStyle w:val="Akapitzlist"/>
        <w:numPr>
          <w:ilvl w:val="1"/>
          <w:numId w:val="1"/>
        </w:numPr>
        <w:spacing w:after="0"/>
        <w:contextualSpacing w:val="0"/>
        <w:jc w:val="both"/>
        <w:rPr>
          <w:rFonts w:ascii="Arial" w:hAnsi="Arial" w:cs="Arial"/>
          <w:sz w:val="20"/>
          <w:szCs w:val="20"/>
        </w:rPr>
      </w:pPr>
      <w:r w:rsidRPr="00667AF8">
        <w:rPr>
          <w:rFonts w:ascii="Arial" w:hAnsi="Arial" w:cs="Arial"/>
          <w:sz w:val="20"/>
          <w:szCs w:val="20"/>
        </w:rPr>
        <w:t>Budowa rusztowań, materiały oraz transport do miejsca montażu rusztowań i transport po demontażu jest w gestii Wykonawcy prac remontowych. Dzierżawa rusztowań na czas trwania remontu pozostaje w gestii Wykonawcy i powinna być uwzględniona w cenie zadania.</w:t>
      </w:r>
    </w:p>
    <w:p w14:paraId="194E5C7C" w14:textId="77777777" w:rsidR="004D7605" w:rsidRPr="00667AF8" w:rsidRDefault="004D7605" w:rsidP="004D7605">
      <w:pPr>
        <w:pStyle w:val="Akapitzlist"/>
        <w:numPr>
          <w:ilvl w:val="1"/>
          <w:numId w:val="1"/>
        </w:numPr>
        <w:spacing w:after="0"/>
        <w:contextualSpacing w:val="0"/>
        <w:jc w:val="both"/>
        <w:rPr>
          <w:rFonts w:ascii="Arial" w:hAnsi="Arial" w:cs="Arial"/>
          <w:sz w:val="20"/>
          <w:szCs w:val="20"/>
        </w:rPr>
      </w:pPr>
      <w:r w:rsidRPr="00667AF8">
        <w:rPr>
          <w:rFonts w:ascii="Arial" w:hAnsi="Arial" w:cs="Arial"/>
          <w:sz w:val="20"/>
          <w:szCs w:val="20"/>
        </w:rPr>
        <w:t>Właścicielem powstałych w czasie prac na terenie Elektrowni odpadów poza złomem stalowym i metali kolorowych jest Wykonawca.</w:t>
      </w:r>
    </w:p>
    <w:p w14:paraId="194E5C7E" w14:textId="77777777" w:rsidR="004D7605" w:rsidRPr="00667AF8" w:rsidRDefault="004D7605" w:rsidP="004D7605">
      <w:pPr>
        <w:pStyle w:val="Akapitzlist"/>
        <w:numPr>
          <w:ilvl w:val="1"/>
          <w:numId w:val="1"/>
        </w:numPr>
        <w:spacing w:after="0" w:line="276" w:lineRule="auto"/>
        <w:contextualSpacing w:val="0"/>
        <w:jc w:val="both"/>
        <w:rPr>
          <w:rFonts w:ascii="Arial" w:hAnsi="Arial" w:cs="Arial"/>
          <w:sz w:val="20"/>
          <w:szCs w:val="20"/>
        </w:rPr>
      </w:pPr>
      <w:r w:rsidRPr="00667AF8">
        <w:rPr>
          <w:rFonts w:ascii="Arial" w:hAnsi="Arial" w:cs="Arial"/>
          <w:sz w:val="20"/>
          <w:szCs w:val="20"/>
        </w:rPr>
        <w:t>Wykonawca w cenie jednostkowej rbg uwzględni ewentualne wykonanie rusztowań i użycie sprzętu niezbędnego do realizacji przedmiotu zamówienia takiego jak: wózek akumulatorowy, wózek widłowy do 3,5 t, spawarki, wciągarki, elektronarzędzia, szekle, zawiesia, ręczny podnośnik hydrauliczny, pozostały sprzęt ręczny, rusztowania warszawskie – do wysokości 3 m (1 kolumna). Rusztowania winny spełniać wymogi obowiązujących przepisów prawa, wykonane przez uprawnionych montażystów i odebrane przez osobę posiadającą odpowiednie uprawnienia budowlane.</w:t>
      </w:r>
    </w:p>
    <w:p w14:paraId="194E5C7F" w14:textId="77777777" w:rsidR="004D7605" w:rsidRPr="00667AF8" w:rsidRDefault="004D7605" w:rsidP="004D7605">
      <w:pPr>
        <w:pStyle w:val="Akapitzlist"/>
        <w:numPr>
          <w:ilvl w:val="1"/>
          <w:numId w:val="1"/>
        </w:numPr>
        <w:spacing w:after="0" w:line="276" w:lineRule="auto"/>
        <w:ind w:hanging="508"/>
        <w:jc w:val="both"/>
        <w:rPr>
          <w:rFonts w:ascii="Arial" w:hAnsi="Arial" w:cs="Arial"/>
          <w:sz w:val="20"/>
          <w:szCs w:val="20"/>
        </w:rPr>
      </w:pPr>
      <w:r w:rsidRPr="00667AF8">
        <w:rPr>
          <w:rFonts w:ascii="Arial" w:hAnsi="Arial" w:cs="Arial"/>
          <w:sz w:val="20"/>
          <w:szCs w:val="20"/>
        </w:rPr>
        <w:t>W stawce należy uwzględnić w koszt użytych materiałów pomocniczych takich jak:</w:t>
      </w:r>
    </w:p>
    <w:p w14:paraId="194E5C80" w14:textId="77777777" w:rsidR="004D7605" w:rsidRPr="00667AF8" w:rsidRDefault="004D7605" w:rsidP="004D7605">
      <w:pPr>
        <w:pStyle w:val="Akapitzlist"/>
        <w:numPr>
          <w:ilvl w:val="1"/>
          <w:numId w:val="2"/>
        </w:numPr>
        <w:spacing w:after="0" w:line="276" w:lineRule="auto"/>
        <w:jc w:val="both"/>
        <w:rPr>
          <w:rFonts w:ascii="Arial" w:hAnsi="Arial" w:cs="Arial"/>
          <w:sz w:val="20"/>
          <w:szCs w:val="20"/>
        </w:rPr>
      </w:pPr>
      <w:r w:rsidRPr="00667AF8">
        <w:rPr>
          <w:rFonts w:ascii="Arial" w:hAnsi="Arial" w:cs="Arial"/>
          <w:sz w:val="20"/>
          <w:szCs w:val="20"/>
        </w:rPr>
        <w:t xml:space="preserve">branża mechaniczna: Elektrody EN;EB;ER, drut spawalniczy, topniki, gazy spawalnicze (tlen, acetylen, CO2, argon, propan-butan,) folia zabezpieczająca, odrdzewiacze, odtłuszczacze do metalu, papier ścierny, pierścienie segera, wazeliny techniczne, śruby i nakrętki typowe do M 24, podkładki zwykłe i sprężyste do rozmiaru śrub M24, tarcze do cięcia, tarcze do szlifowania, czyściwo, cyna, pasty lutownicze, gwoździe, blachowkręty, </w:t>
      </w:r>
      <w:r w:rsidRPr="00667AF8">
        <w:rPr>
          <w:rFonts w:ascii="Arial" w:hAnsi="Arial" w:cs="Arial"/>
          <w:sz w:val="20"/>
          <w:szCs w:val="20"/>
        </w:rPr>
        <w:lastRenderedPageBreak/>
        <w:t>koszulki termokurczliwe, kotwy i kołki rozporowe, lut miękki, nity zrywalne, o-ring do średnicy fi50 mm, opaski ślimakowe, opaski kablowe, pasty i proszki do docierania, penetranty,  rozpuszczalniki uniwersalne, aceton, benzyna, denaturat, silikony zwykłe,  smary stałe, smary silikonowe, wazeliny techniczne, farby podkładowe do wykonania zabezpieczeń antykorozyjnych, nity, pakuły lniane, szczotki druciane, zawleczki, kompozyty polimerowe do naprawiania węzłów łożyskowych oraz powierzchni uszczelniających.</w:t>
      </w:r>
    </w:p>
    <w:p w14:paraId="194E5C81" w14:textId="77777777" w:rsidR="004D7605" w:rsidRPr="00667AF8" w:rsidRDefault="004D7605" w:rsidP="004D7605">
      <w:pPr>
        <w:pStyle w:val="Akapitzlist"/>
        <w:numPr>
          <w:ilvl w:val="1"/>
          <w:numId w:val="2"/>
        </w:numPr>
        <w:spacing w:after="0" w:line="276" w:lineRule="auto"/>
        <w:jc w:val="both"/>
        <w:rPr>
          <w:rFonts w:ascii="Arial" w:hAnsi="Arial" w:cs="Arial"/>
          <w:sz w:val="20"/>
          <w:szCs w:val="20"/>
        </w:rPr>
      </w:pPr>
      <w:r w:rsidRPr="00667AF8">
        <w:rPr>
          <w:rFonts w:ascii="Arial" w:hAnsi="Arial" w:cs="Arial"/>
          <w:sz w:val="20"/>
          <w:szCs w:val="20"/>
        </w:rPr>
        <w:t>branża elektryczna: śruby, nakrętki i podkładki typowe do rozmiaru M 24, tarcze do cięcia, tarcze do szlifowania, typowe końcówki kablowe i listwy zaciskowe, kotwy i kołki rozporowe, nity ,koszulki termokurczliwe, taśmy izolacyjne i kablowe, opaski kablowe, cyna, pasty lutownicze, lut  miękki, gazy spawalnicze (tlen, acetylen, propan-butan),  pasty do czyszczenia izolatorów, lakiery elektroizolacyjne spray, odrdzewiacze, odtłuszczacze do metalu zwykłe, penetranty,  aceton, benzyna, silikony zwykłe, wazelina techniczna, rozpuszczalniki uniwersalne, kleje do osadzania łożyska, farby podkładowe do wykonania zabezpieczeń antykorozyjnych, kleje do gwintów i uszczelniania łączonych powierzchni płaskich, włóknina, czyściwo, folie zabezpieczająca.</w:t>
      </w:r>
    </w:p>
    <w:p w14:paraId="194E5C82" w14:textId="77777777" w:rsidR="004D7605" w:rsidRPr="00667AF8" w:rsidRDefault="004D7605" w:rsidP="004D7605">
      <w:pPr>
        <w:pStyle w:val="Akapitzlist"/>
        <w:numPr>
          <w:ilvl w:val="1"/>
          <w:numId w:val="2"/>
        </w:numPr>
        <w:spacing w:after="0" w:line="276" w:lineRule="auto"/>
        <w:contextualSpacing w:val="0"/>
        <w:jc w:val="both"/>
        <w:rPr>
          <w:rFonts w:ascii="Arial" w:hAnsi="Arial" w:cs="Arial"/>
          <w:sz w:val="20"/>
          <w:szCs w:val="20"/>
        </w:rPr>
      </w:pPr>
      <w:r w:rsidRPr="00667AF8">
        <w:rPr>
          <w:rFonts w:ascii="Arial" w:hAnsi="Arial" w:cs="Arial"/>
          <w:sz w:val="20"/>
          <w:szCs w:val="20"/>
        </w:rPr>
        <w:t>branża AKPiA: śruby, nakrętki i podkładki typowe do rozmiaru M24, tarcze do cięcia, tarcze do szlifowania, złączki do instalacji pneumatycznych fi8 i fi12, typowe końcówki kablowe i listwy zaciskowe, kotwy i kołki rozporowe, nity, koszulki termokurczliwe, taśmy izolacyjne i kablowe, opaski kablowe, cyna, pasty lutownicze, lut  miękki, gazy spawalnicze (tlen, acetylen, propan-butan),  pasty do czyszczenia izolatorów, lakiery elektroizolacyjne spray, odrdzewiacze, odtłuszczacze do metalu zwykłe, penetranty, aceton, benzyna, silikony zwykłe, wazelina techniczna, rozpuszczalniki uniwersalne, kleje do osadzania łożysk, farby podkładowe do wykonania zabezpieczeń antykorozyjnych, kleje do gwintów i uszczelniania łączonych powierzchni płaskich, włóknina, czyściwo, folia zabezpieczająca.</w:t>
      </w:r>
    </w:p>
    <w:p w14:paraId="194E5C83" w14:textId="77777777" w:rsidR="0028276B" w:rsidRDefault="0028276B"/>
    <w:sectPr w:rsidR="002827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D4546"/>
    <w:multiLevelType w:val="multilevel"/>
    <w:tmpl w:val="B48838AC"/>
    <w:lvl w:ilvl="0">
      <w:start w:val="1"/>
      <w:numFmt w:val="decimal"/>
      <w:lvlText w:val="%1."/>
      <w:lvlJc w:val="left"/>
      <w:pPr>
        <w:ind w:left="360" w:hanging="360"/>
      </w:pPr>
      <w:rPr>
        <w:rFonts w:hint="default"/>
      </w:rPr>
    </w:lvl>
    <w:lvl w:ilvl="1">
      <w:start w:val="1"/>
      <w:numFmt w:val="bullet"/>
      <w:lvlText w:val=""/>
      <w:lvlJc w:val="left"/>
      <w:pPr>
        <w:ind w:left="1283" w:hanging="432"/>
      </w:pPr>
      <w:rPr>
        <w:rFonts w:ascii="Symbol" w:hAnsi="Symbol" w:hint="default"/>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D232323"/>
    <w:multiLevelType w:val="multilevel"/>
    <w:tmpl w:val="DD92CC08"/>
    <w:lvl w:ilvl="0">
      <w:start w:val="1"/>
      <w:numFmt w:val="decimal"/>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27069773">
    <w:abstractNumId w:val="1"/>
  </w:num>
  <w:num w:numId="2" w16cid:durableId="1110197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606"/>
    <w:rsid w:val="000C6D10"/>
    <w:rsid w:val="002546ED"/>
    <w:rsid w:val="0028276B"/>
    <w:rsid w:val="003B2D0D"/>
    <w:rsid w:val="003D41EF"/>
    <w:rsid w:val="00420D19"/>
    <w:rsid w:val="004D7605"/>
    <w:rsid w:val="004F15D8"/>
    <w:rsid w:val="008D610D"/>
    <w:rsid w:val="00C129BB"/>
    <w:rsid w:val="00D016C9"/>
    <w:rsid w:val="00E27ADD"/>
    <w:rsid w:val="00E90DE1"/>
    <w:rsid w:val="00EF367D"/>
    <w:rsid w:val="00F02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E5C2C"/>
  <w15:chartTrackingRefBased/>
  <w15:docId w15:val="{9F0A59B9-A4F9-417A-9CD5-B6C8DF790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7605"/>
    <w:rPr>
      <w:rFonts w:eastAsiaTheme="minorEastAsia" w:cs="Times New Roman"/>
      <w:kern w:val="0"/>
      <w:lang w:eastAsia="pl-PL"/>
      <w14:ligatures w14:val="none"/>
    </w:rPr>
  </w:style>
  <w:style w:type="paragraph" w:styleId="Nagwek1">
    <w:name w:val="heading 1"/>
    <w:basedOn w:val="Normalny"/>
    <w:next w:val="Normalny"/>
    <w:link w:val="Nagwek1Znak"/>
    <w:uiPriority w:val="9"/>
    <w:qFormat/>
    <w:rsid w:val="00F0260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F0260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F02606"/>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F02606"/>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F02606"/>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F0260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260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260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260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2606"/>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F02606"/>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F02606"/>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F02606"/>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F02606"/>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F0260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260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260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2606"/>
    <w:rPr>
      <w:rFonts w:eastAsiaTheme="majorEastAsia" w:cstheme="majorBidi"/>
      <w:color w:val="272727" w:themeColor="text1" w:themeTint="D8"/>
    </w:rPr>
  </w:style>
  <w:style w:type="paragraph" w:styleId="Tytu">
    <w:name w:val="Title"/>
    <w:basedOn w:val="Normalny"/>
    <w:next w:val="Normalny"/>
    <w:link w:val="TytuZnak"/>
    <w:uiPriority w:val="10"/>
    <w:qFormat/>
    <w:rsid w:val="00F026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0260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0260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260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2606"/>
    <w:pPr>
      <w:spacing w:before="160"/>
      <w:jc w:val="center"/>
    </w:pPr>
    <w:rPr>
      <w:i/>
      <w:iCs/>
      <w:color w:val="404040" w:themeColor="text1" w:themeTint="BF"/>
    </w:rPr>
  </w:style>
  <w:style w:type="character" w:customStyle="1" w:styleId="CytatZnak">
    <w:name w:val="Cytat Znak"/>
    <w:basedOn w:val="Domylnaczcionkaakapitu"/>
    <w:link w:val="Cytat"/>
    <w:uiPriority w:val="29"/>
    <w:rsid w:val="00F02606"/>
    <w:rPr>
      <w:i/>
      <w:iCs/>
      <w:color w:val="404040" w:themeColor="text1" w:themeTint="BF"/>
    </w:rPr>
  </w:style>
  <w:style w:type="paragraph" w:styleId="Akapitzlist">
    <w:name w:val="List Paragraph"/>
    <w:aliases w:val="1_literowka,Akapit z listą3,Akapit z listą31,Akapit z listą;1_literowka,List Paragraph1,List Paragraph_0,Literowanie,Normal2,Normalny1,Normalny11,Normalny2,Normalny3,Normalny4,Numerowanie,Obiekt,Podsis rysunku,Tytuły,Wypunktowanie"/>
    <w:basedOn w:val="Normalny"/>
    <w:link w:val="AkapitzlistZnak"/>
    <w:uiPriority w:val="34"/>
    <w:qFormat/>
    <w:rsid w:val="00F02606"/>
    <w:pPr>
      <w:ind w:left="720"/>
      <w:contextualSpacing/>
    </w:pPr>
  </w:style>
  <w:style w:type="character" w:styleId="Wyrnienieintensywne">
    <w:name w:val="Intense Emphasis"/>
    <w:basedOn w:val="Domylnaczcionkaakapitu"/>
    <w:uiPriority w:val="21"/>
    <w:qFormat/>
    <w:rsid w:val="00F02606"/>
    <w:rPr>
      <w:i/>
      <w:iCs/>
      <w:color w:val="2E74B5" w:themeColor="accent1" w:themeShade="BF"/>
    </w:rPr>
  </w:style>
  <w:style w:type="paragraph" w:styleId="Cytatintensywny">
    <w:name w:val="Intense Quote"/>
    <w:basedOn w:val="Normalny"/>
    <w:next w:val="Normalny"/>
    <w:link w:val="CytatintensywnyZnak"/>
    <w:uiPriority w:val="30"/>
    <w:qFormat/>
    <w:rsid w:val="00F0260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F02606"/>
    <w:rPr>
      <w:i/>
      <w:iCs/>
      <w:color w:val="2E74B5" w:themeColor="accent1" w:themeShade="BF"/>
    </w:rPr>
  </w:style>
  <w:style w:type="character" w:styleId="Odwoanieintensywne">
    <w:name w:val="Intense Reference"/>
    <w:basedOn w:val="Domylnaczcionkaakapitu"/>
    <w:uiPriority w:val="32"/>
    <w:qFormat/>
    <w:rsid w:val="00F02606"/>
    <w:rPr>
      <w:b/>
      <w:bCs/>
      <w:smallCaps/>
      <w:color w:val="2E74B5" w:themeColor="accent1" w:themeShade="BF"/>
      <w:spacing w:val="5"/>
    </w:rPr>
  </w:style>
  <w:style w:type="table" w:styleId="Tabela-Siatka">
    <w:name w:val="Table Grid"/>
    <w:basedOn w:val="Standardowy"/>
    <w:uiPriority w:val="39"/>
    <w:rsid w:val="004D7605"/>
    <w:pPr>
      <w:spacing w:after="0" w:line="240" w:lineRule="auto"/>
    </w:pPr>
    <w:rPr>
      <w:rFonts w:eastAsiaTheme="minorEastAsia" w:cs="Times New Roman"/>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Akapit z listą3 Znak,Akapit z listą31 Znak,Akapit z listą;1_literowka Znak,List Paragraph1 Znak,List Paragraph_0 Znak,Literowanie Znak,Normal2 Znak,Normalny1 Znak,Normalny11 Znak,Normalny2 Znak,Normalny3 Znak"/>
    <w:link w:val="Akapitzlist"/>
    <w:uiPriority w:val="34"/>
    <w:qFormat/>
    <w:rsid w:val="004D7605"/>
  </w:style>
  <w:style w:type="character" w:styleId="Odwoaniedokomentarza">
    <w:name w:val="annotation reference"/>
    <w:basedOn w:val="Domylnaczcionkaakapitu"/>
    <w:uiPriority w:val="99"/>
    <w:semiHidden/>
    <w:unhideWhenUsed/>
    <w:rsid w:val="00E27ADD"/>
    <w:rPr>
      <w:sz w:val="16"/>
      <w:szCs w:val="16"/>
    </w:rPr>
  </w:style>
  <w:style w:type="paragraph" w:styleId="Tekstkomentarza">
    <w:name w:val="annotation text"/>
    <w:basedOn w:val="Normalny"/>
    <w:link w:val="TekstkomentarzaZnak"/>
    <w:uiPriority w:val="99"/>
    <w:unhideWhenUsed/>
    <w:rsid w:val="00E27ADD"/>
    <w:pPr>
      <w:spacing w:line="240" w:lineRule="auto"/>
    </w:pPr>
    <w:rPr>
      <w:sz w:val="20"/>
      <w:szCs w:val="20"/>
    </w:rPr>
  </w:style>
  <w:style w:type="character" w:customStyle="1" w:styleId="TekstkomentarzaZnak">
    <w:name w:val="Tekst komentarza Znak"/>
    <w:basedOn w:val="Domylnaczcionkaakapitu"/>
    <w:link w:val="Tekstkomentarza"/>
    <w:uiPriority w:val="99"/>
    <w:rsid w:val="00E27ADD"/>
    <w:rPr>
      <w:rFonts w:eastAsiaTheme="minorEastAsia"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E27ADD"/>
    <w:rPr>
      <w:b/>
      <w:bCs/>
    </w:rPr>
  </w:style>
  <w:style w:type="character" w:customStyle="1" w:styleId="TematkomentarzaZnak">
    <w:name w:val="Temat komentarza Znak"/>
    <w:basedOn w:val="TekstkomentarzaZnak"/>
    <w:link w:val="Tematkomentarza"/>
    <w:uiPriority w:val="99"/>
    <w:semiHidden/>
    <w:rsid w:val="00E27ADD"/>
    <w:rPr>
      <w:rFonts w:eastAsiaTheme="minorEastAsia"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1073</Words>
  <Characters>6439</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Ksiondz Dorota (TW)</dc:creator>
  <cp:keywords/>
  <dc:description/>
  <cp:lastModifiedBy>Karweta Paweł (TW)</cp:lastModifiedBy>
  <cp:revision>7</cp:revision>
  <dcterms:created xsi:type="dcterms:W3CDTF">2026-01-19T10:48:00Z</dcterms:created>
  <dcterms:modified xsi:type="dcterms:W3CDTF">2026-01-27T06:19:00Z</dcterms:modified>
</cp:coreProperties>
</file>